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46" w:rsidRPr="00032246" w:rsidRDefault="00032246" w:rsidP="00032246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2246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2246">
        <w:rPr>
          <w:rFonts w:ascii="Times New Roman" w:hAnsi="Times New Roman" w:cs="Times New Roman"/>
          <w:sz w:val="24"/>
          <w:szCs w:val="24"/>
          <w:lang w:val="ru-RU"/>
        </w:rPr>
        <w:t>к Приказу Министра финансов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2246">
        <w:rPr>
          <w:rFonts w:ascii="Times New Roman" w:hAnsi="Times New Roman" w:cs="Times New Roman"/>
          <w:sz w:val="24"/>
          <w:szCs w:val="24"/>
          <w:lang w:val="ru-RU"/>
        </w:rPr>
        <w:t>№ 71 от 30 мая 2014 г.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246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246">
        <w:rPr>
          <w:rFonts w:ascii="Times New Roman" w:hAnsi="Times New Roman" w:cs="Times New Roman"/>
          <w:b/>
          <w:sz w:val="24"/>
          <w:szCs w:val="24"/>
          <w:lang w:val="ru-RU"/>
        </w:rPr>
        <w:t>о порядке заполнения типовой формы первичного документа «Акт подтверждения дебиторской задолженности и обязательств в иностранной валюте по экономическим операциям между резидентами Республики Молдова»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246" w:rsidRPr="00032246" w:rsidRDefault="00032246" w:rsidP="00032246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032246">
        <w:rPr>
          <w:b/>
        </w:rPr>
        <w:t>Общие положения</w:t>
      </w:r>
    </w:p>
    <w:p w:rsidR="00032246" w:rsidRPr="00032246" w:rsidRDefault="00032246" w:rsidP="0003224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32246">
        <w:t>Настоящая Инструкция разработана на основании пункта а) части (2) статьи 11 Закона о бухгалтерском учете № 113-XVI от 27 апреля 2007 г. (повторное опубликование: Официальный монитор Республики Молдова, 2014 г., № 27-34, ст. 61), с последующими изменениями, части (2) статьи 21 Закона</w:t>
      </w:r>
      <w:r w:rsidRPr="00032246">
        <w:rPr>
          <w:b/>
          <w:bCs/>
        </w:rPr>
        <w:t xml:space="preserve"> </w:t>
      </w:r>
      <w:r w:rsidRPr="00032246">
        <w:rPr>
          <w:bCs/>
        </w:rPr>
        <w:t xml:space="preserve">о валютном регулировании </w:t>
      </w:r>
      <w:r w:rsidRPr="00032246">
        <w:t xml:space="preserve">№ </w:t>
      </w:r>
      <w:r w:rsidRPr="00032246">
        <w:rPr>
          <w:bCs/>
        </w:rPr>
        <w:t>62-XVI от 21 марта 2008 г. (</w:t>
      </w:r>
      <w:r w:rsidRPr="00032246">
        <w:t xml:space="preserve">Официальный монитор Республики Молдова, 2008 г., № 127-130, ст. 496), с последующими изменениями, и устанавливает порядок заполнения «Акта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 xml:space="preserve">экономическим операциям между резидентами Республики Молдова», за </w:t>
      </w:r>
      <w:r w:rsidRPr="00032246">
        <w:t>исключением операций, по которым одной из сторон является лицензированный банк.</w:t>
      </w:r>
    </w:p>
    <w:p w:rsidR="00032246" w:rsidRPr="00032246" w:rsidRDefault="00032246" w:rsidP="0003224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Emphasis"/>
          <w:i w:val="0"/>
          <w:iCs w:val="0"/>
        </w:rPr>
      </w:pPr>
      <w:r w:rsidRPr="00032246">
        <w:t xml:space="preserve">«Акт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 xml:space="preserve">экономическим операциям между резидентами Республики Молдова» </w:t>
      </w:r>
      <w:r w:rsidRPr="00032246">
        <w:t xml:space="preserve">является типовой формой первичного документа, которая заполняется субъектом-эмитентом на отчетную дату с целью учета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>экономическим операциям между резидентами Республики Молдова.</w:t>
      </w:r>
    </w:p>
    <w:p w:rsidR="00032246" w:rsidRPr="00032246" w:rsidRDefault="00032246" w:rsidP="0003224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32246">
        <w:t xml:space="preserve">Субъектами заполняющими «Акт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 xml:space="preserve">экономическим операциям между резидентами Республики Молдова» являются </w:t>
      </w:r>
      <w:r w:rsidRPr="00032246">
        <w:t>субъекты-резиденты, которым разрешается осуществление на территории Республики Молдова платежей и переводов в иностранной валюте, согласно части (2) статьи 21 Закона</w:t>
      </w:r>
      <w:r w:rsidRPr="00032246">
        <w:rPr>
          <w:b/>
          <w:bCs/>
        </w:rPr>
        <w:t xml:space="preserve"> </w:t>
      </w:r>
      <w:r w:rsidRPr="00032246">
        <w:rPr>
          <w:bCs/>
        </w:rPr>
        <w:t xml:space="preserve">о валютном регулировании, за </w:t>
      </w:r>
      <w:r w:rsidRPr="00032246">
        <w:t>исключением лицензированных банков.</w:t>
      </w:r>
    </w:p>
    <w:p w:rsidR="00032246" w:rsidRPr="00032246" w:rsidRDefault="00032246" w:rsidP="00032246">
      <w:pPr>
        <w:pStyle w:val="ListParagraph"/>
        <w:tabs>
          <w:tab w:val="left" w:pos="851"/>
        </w:tabs>
        <w:ind w:left="0" w:firstLine="567"/>
        <w:jc w:val="both"/>
      </w:pPr>
    </w:p>
    <w:p w:rsidR="00032246" w:rsidRPr="00032246" w:rsidRDefault="00032246" w:rsidP="00032246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032246">
        <w:rPr>
          <w:b/>
        </w:rPr>
        <w:t xml:space="preserve">Заполнение «Акта подтверждения дебиторской задолженности и обязательств в иностранной валюте по </w:t>
      </w:r>
      <w:r w:rsidRPr="00032246">
        <w:rPr>
          <w:rStyle w:val="Emphasis"/>
          <w:b/>
          <w:bCs/>
          <w:i w:val="0"/>
          <w:shd w:val="clear" w:color="auto" w:fill="FFFFFF"/>
        </w:rPr>
        <w:t>экономическим операциям между резидентами Республики Молдова»</w:t>
      </w:r>
    </w:p>
    <w:p w:rsidR="00032246" w:rsidRPr="00032246" w:rsidRDefault="00032246" w:rsidP="0003224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246" w:rsidRPr="00032246" w:rsidRDefault="00032246" w:rsidP="0003224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Emphasis"/>
          <w:i w:val="0"/>
          <w:iCs w:val="0"/>
        </w:rPr>
      </w:pPr>
      <w:r w:rsidRPr="00032246">
        <w:t xml:space="preserve">Типовая форма первичного документа «Акт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>экономическим операциям между резидентами Республики Молдова» заполняется в двух экземплярах.</w:t>
      </w:r>
    </w:p>
    <w:p w:rsidR="00032246" w:rsidRPr="00032246" w:rsidRDefault="00032246" w:rsidP="00032246">
      <w:pPr>
        <w:pStyle w:val="ListParagraph"/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 xml:space="preserve">Оба экземпляра, заполненные </w:t>
      </w:r>
      <w:r w:rsidRPr="00032246">
        <w:t>субъектом-эмитентом, передаются субъекту-получателю для подтверждения остатков дебиторской задолженности, обязательств, включая авансы, полученные/выданные в иностранной валюте и пересчитанные в национальную валюту на отчетную дату.</w:t>
      </w:r>
    </w:p>
    <w:p w:rsidR="00032246" w:rsidRPr="00032246" w:rsidRDefault="00032246" w:rsidP="00032246">
      <w:pPr>
        <w:pStyle w:val="ListParagraph"/>
        <w:tabs>
          <w:tab w:val="left" w:pos="851"/>
        </w:tabs>
        <w:ind w:left="0" w:firstLine="567"/>
        <w:jc w:val="both"/>
      </w:pPr>
      <w:r w:rsidRPr="00032246">
        <w:t xml:space="preserve">Субъект-получатель в течение 5 рабочих дней с даты получении «Акта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 xml:space="preserve">экономическим операциям между резидентами Республики Молдова» </w:t>
      </w:r>
      <w:r w:rsidRPr="00032246">
        <w:t>возвращает субъекту-эмитенту один подтвержденный экземпляр, который хранится в бухгалтерии субъекта-эмитента, второй экземпляр хранится в бухгалтерии субъекта-получателя.</w:t>
      </w:r>
    </w:p>
    <w:p w:rsidR="00032246" w:rsidRPr="00032246" w:rsidRDefault="00032246" w:rsidP="0003224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Emphasis"/>
          <w:i w:val="0"/>
          <w:iCs w:val="0"/>
        </w:rPr>
      </w:pPr>
      <w:r w:rsidRPr="00032246">
        <w:t xml:space="preserve">Типовая форма первичного документа «Акт подтверждения дебиторской задолженности и обязательств в иностранной валюте по </w:t>
      </w:r>
      <w:r w:rsidRPr="00032246">
        <w:rPr>
          <w:rStyle w:val="Emphasis"/>
          <w:bCs/>
          <w:i w:val="0"/>
          <w:shd w:val="clear" w:color="auto" w:fill="FFFFFF"/>
        </w:rPr>
        <w:t>экономическим операциям между резидентами Республики Молдова» заполняется следующим образом: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от __ ____________ 20__ г.» указывается число, месяц и год заполнения акта;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№___» субъектом-эмитентом указывается номер акта;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Наименование субъекта-эмитента» указывается наименование субъекта-эмитента;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lastRenderedPageBreak/>
        <w:t xml:space="preserve">В рубрике «Адрес» </w:t>
      </w:r>
      <w:r w:rsidRPr="00032246">
        <w:t>указывается адрес субъекта-эмитента;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Фискальный код/IDNO» указывается фискальный код/IDNO субъекта-эмитента;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Наименование субъекта-получателя» указывается наименование субъекта-получателя;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 xml:space="preserve">В рубрике «Адрес» </w:t>
      </w:r>
      <w:r w:rsidRPr="00032246">
        <w:t>указывается адрес субъекта-получателя;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Фискальный код/IDNO» указывается фискальный код/IDNO субъекта-получателя;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t>Официальный курс MDL: USD/EURO/д</w:t>
      </w:r>
      <w:r w:rsidRPr="00032246">
        <w:rPr>
          <w:bCs/>
        </w:rPr>
        <w:t>ругая иностранная валюта</w:t>
      </w:r>
      <w:r w:rsidRPr="00032246">
        <w:t>» указывается официальный курс молдавского лея на отчетную дату;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rPr>
          <w:bCs/>
        </w:rPr>
        <w:t xml:space="preserve">Стоимость в: </w:t>
      </w:r>
      <w:r w:rsidRPr="00032246">
        <w:t>USD» указывается остаток дебиторской задолженности, обязательств, авансов, полученных/выданных в USD, учтенных субъектом-эмитентом;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rPr>
          <w:bCs/>
        </w:rPr>
        <w:t xml:space="preserve">Стоимость в: </w:t>
      </w:r>
      <w:r w:rsidRPr="00032246">
        <w:t>EURO» указывается остаток дебиторской задолженности, обязательств, авансов, полученных/выданных в EURO, учтенных субъектом-эмитентом;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rPr>
          <w:bCs/>
        </w:rPr>
        <w:t>Стоимость в: другой иностранной валюте</w:t>
      </w:r>
      <w:r w:rsidRPr="00032246">
        <w:t xml:space="preserve">» указывается остаток дебиторской задолженности, обязательств, авансов, полученных/выданных в </w:t>
      </w:r>
      <w:r w:rsidRPr="00032246">
        <w:rPr>
          <w:bCs/>
        </w:rPr>
        <w:t>другой иностранной валюте</w:t>
      </w:r>
      <w:r w:rsidRPr="00032246">
        <w:t>, учтенных субъектом-эмитентом;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032246">
        <w:rPr>
          <w:rStyle w:val="Emphasis"/>
          <w:bCs/>
          <w:i w:val="0"/>
          <w:shd w:val="clear" w:color="auto" w:fill="FFFFFF"/>
        </w:rPr>
        <w:t>В рубрике «</w:t>
      </w:r>
      <w:r w:rsidRPr="00032246">
        <w:rPr>
          <w:bCs/>
        </w:rPr>
        <w:t>Эквивалент в MDL</w:t>
      </w:r>
      <w:r w:rsidRPr="00032246">
        <w:t xml:space="preserve">» указывается </w:t>
      </w:r>
      <w:r w:rsidRPr="00032246">
        <w:rPr>
          <w:bCs/>
        </w:rPr>
        <w:t>эквивалент в</w:t>
      </w:r>
      <w:r w:rsidRPr="00032246">
        <w:t xml:space="preserve"> национальной валюте остатков дебиторской задолженности, обязательств, авансов, полученных/выданных в USD/EURO и/или д</w:t>
      </w:r>
      <w:r w:rsidRPr="00032246">
        <w:rPr>
          <w:bCs/>
        </w:rPr>
        <w:t>ругой иностранной валюте,</w:t>
      </w:r>
      <w:r w:rsidRPr="00032246">
        <w:t xml:space="preserve"> пересчитанных с применением официального курса молдавского лея на отчетную дату;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</w:pPr>
      <w:r w:rsidRPr="00032246">
        <w:t>Подобно пунктам 10–13 заполняются следующие рубрики субъектом-получателем: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032246">
        <w:t>Рубрика «Отметки» заполняется субъектом-эмитентом/субъектом-получателем по необходимости соответствующей информацией о дебиторской задолженности, обязательствах и авансах, полученных/выданных, указанных в акте подтверждения;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032246">
        <w:t>В строке «</w:t>
      </w:r>
      <w:r w:rsidRPr="00032246">
        <w:rPr>
          <w:bCs/>
        </w:rPr>
        <w:t>Руководитель субъекта-</w:t>
      </w:r>
      <w:r w:rsidRPr="00032246">
        <w:t xml:space="preserve">эмитента» указывается фамилия, имя </w:t>
      </w:r>
      <w:r w:rsidRPr="00032246">
        <w:rPr>
          <w:bCs/>
        </w:rPr>
        <w:t>руководителя субъекта-</w:t>
      </w:r>
      <w:r w:rsidRPr="00032246">
        <w:t>эмитента и его подпись;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032246">
        <w:t>В строке «</w:t>
      </w:r>
      <w:r w:rsidRPr="00032246">
        <w:rPr>
          <w:bCs/>
        </w:rPr>
        <w:t>Главный бухгалтер</w:t>
      </w:r>
      <w:r w:rsidRPr="00032246">
        <w:t xml:space="preserve">» указывается фамилия, имя </w:t>
      </w:r>
      <w:r w:rsidRPr="00032246">
        <w:rPr>
          <w:bCs/>
        </w:rPr>
        <w:t>главного бухгалтера субъекта-</w:t>
      </w:r>
      <w:r w:rsidRPr="00032246">
        <w:t>эмитента и его подпись;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032246">
        <w:t>В строке «</w:t>
      </w:r>
      <w:r w:rsidRPr="00032246">
        <w:rPr>
          <w:bCs/>
        </w:rPr>
        <w:t>Руководитель субъекта-</w:t>
      </w:r>
      <w:r w:rsidRPr="00032246">
        <w:t xml:space="preserve">получателя» указывается фамилия, имя </w:t>
      </w:r>
      <w:r w:rsidRPr="00032246">
        <w:rPr>
          <w:bCs/>
        </w:rPr>
        <w:t>руководителя субъекта-</w:t>
      </w:r>
      <w:r w:rsidRPr="00032246">
        <w:t>получателя и его подпись;</w:t>
      </w:r>
    </w:p>
    <w:p w:rsidR="00032246" w:rsidRPr="00032246" w:rsidRDefault="00032246" w:rsidP="00032246">
      <w:pPr>
        <w:pStyle w:val="ListParagraph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032246">
        <w:t>В строке «</w:t>
      </w:r>
      <w:r w:rsidRPr="00032246">
        <w:rPr>
          <w:bCs/>
        </w:rPr>
        <w:t>Главный бухгалтер</w:t>
      </w:r>
      <w:r w:rsidRPr="00032246">
        <w:t xml:space="preserve">» указывается фамилия, имя </w:t>
      </w:r>
      <w:r w:rsidRPr="00032246">
        <w:rPr>
          <w:bCs/>
        </w:rPr>
        <w:t>главного бухгалтера субъекта-</w:t>
      </w:r>
      <w:r w:rsidRPr="00032246">
        <w:t>получателя и его подпись.</w:t>
      </w:r>
    </w:p>
    <w:p w:rsidR="00032246" w:rsidRPr="00032246" w:rsidRDefault="00032246" w:rsidP="00032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CAD" w:rsidRPr="00032246" w:rsidRDefault="00A51CAD" w:rsidP="00032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1CAD" w:rsidRPr="00032246" w:rsidSect="00B8776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9AB"/>
    <w:multiLevelType w:val="hybridMultilevel"/>
    <w:tmpl w:val="BBA06036"/>
    <w:lvl w:ilvl="0" w:tplc="B1AE0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B55AFF"/>
    <w:multiLevelType w:val="hybridMultilevel"/>
    <w:tmpl w:val="D1D6A918"/>
    <w:lvl w:ilvl="0" w:tplc="6428CF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383AC3"/>
    <w:multiLevelType w:val="hybridMultilevel"/>
    <w:tmpl w:val="6298E9B6"/>
    <w:lvl w:ilvl="0" w:tplc="C41AB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32246"/>
    <w:rsid w:val="00032246"/>
    <w:rsid w:val="00A5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32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2014-06-16T07:36:00Z</dcterms:created>
  <dcterms:modified xsi:type="dcterms:W3CDTF">2014-06-16T07:36:00Z</dcterms:modified>
</cp:coreProperties>
</file>